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9372" w14:textId="77777777" w:rsidR="00FD187B" w:rsidRPr="00117CDA" w:rsidRDefault="00117CDA" w:rsidP="00117C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7CDA">
        <w:rPr>
          <w:rFonts w:ascii="Arial" w:hAnsi="Arial" w:cs="Arial"/>
          <w:b/>
          <w:sz w:val="24"/>
          <w:szCs w:val="24"/>
        </w:rPr>
        <w:t xml:space="preserve">Ü b e r s c h w e m </w:t>
      </w:r>
      <w:proofErr w:type="spellStart"/>
      <w:r w:rsidRPr="00117CDA">
        <w:rPr>
          <w:rFonts w:ascii="Arial" w:hAnsi="Arial" w:cs="Arial"/>
          <w:b/>
          <w:sz w:val="24"/>
          <w:szCs w:val="24"/>
        </w:rPr>
        <w:t>m</w:t>
      </w:r>
      <w:proofErr w:type="spellEnd"/>
      <w:r w:rsidRPr="00117CDA">
        <w:rPr>
          <w:rFonts w:ascii="Arial" w:hAnsi="Arial" w:cs="Arial"/>
          <w:b/>
          <w:sz w:val="24"/>
          <w:szCs w:val="24"/>
        </w:rPr>
        <w:t xml:space="preserve"> u n g s g e b i e t s v e r</w:t>
      </w:r>
      <w:r w:rsidR="001D4985">
        <w:rPr>
          <w:rFonts w:ascii="Arial" w:hAnsi="Arial" w:cs="Arial"/>
          <w:b/>
          <w:sz w:val="24"/>
          <w:szCs w:val="24"/>
        </w:rPr>
        <w:t xml:space="preserve"> o r</w:t>
      </w:r>
      <w:r w:rsidRPr="00117CDA">
        <w:rPr>
          <w:rFonts w:ascii="Arial" w:hAnsi="Arial" w:cs="Arial"/>
          <w:b/>
          <w:sz w:val="24"/>
          <w:szCs w:val="24"/>
        </w:rPr>
        <w:t xml:space="preserve"> d n u n g</w:t>
      </w:r>
    </w:p>
    <w:p w14:paraId="56BD3881" w14:textId="77777777" w:rsidR="00117CDA" w:rsidRDefault="00117CDA" w:rsidP="00117CDA">
      <w:pPr>
        <w:spacing w:after="0"/>
        <w:jc w:val="center"/>
        <w:rPr>
          <w:rFonts w:ascii="Arial" w:hAnsi="Arial" w:cs="Arial"/>
          <w:b/>
        </w:rPr>
      </w:pPr>
    </w:p>
    <w:p w14:paraId="342DA0A1" w14:textId="77777777" w:rsidR="00117CDA" w:rsidRDefault="00117CDA" w:rsidP="00117CD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für das Überschwemmungsgebiet </w:t>
      </w:r>
    </w:p>
    <w:p w14:paraId="55780C51" w14:textId="77777777" w:rsidR="00752569" w:rsidRDefault="00752569" w:rsidP="00117CD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A45C01">
        <w:rPr>
          <w:rFonts w:ascii="Arial" w:hAnsi="Arial" w:cs="Arial"/>
        </w:rPr>
        <w:t>Türkenbach</w:t>
      </w:r>
    </w:p>
    <w:p w14:paraId="797D525E" w14:textId="77777777" w:rsidR="00117CDA" w:rsidRDefault="00752569" w:rsidP="00117CD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von Flusskilomete</w:t>
      </w:r>
      <w:r w:rsidR="00A45C01">
        <w:rPr>
          <w:rFonts w:ascii="Arial" w:hAnsi="Arial" w:cs="Arial"/>
        </w:rPr>
        <w:t>r 0,000 bis Flusskilometer 13,521</w:t>
      </w:r>
      <w:r>
        <w:rPr>
          <w:rFonts w:ascii="Arial" w:hAnsi="Arial" w:cs="Arial"/>
        </w:rPr>
        <w:t xml:space="preserve"> </w:t>
      </w:r>
    </w:p>
    <w:p w14:paraId="57CDE346" w14:textId="77777777" w:rsidR="00117CDA" w:rsidRDefault="00117CDA" w:rsidP="00117CD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auf dem Gebiet</w:t>
      </w:r>
    </w:p>
    <w:p w14:paraId="1094C97A" w14:textId="65DBEDD0" w:rsidR="00117CDA" w:rsidRDefault="00752569" w:rsidP="007525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der Gemeinde</w:t>
      </w:r>
      <w:r w:rsidR="00A45C01">
        <w:rPr>
          <w:rFonts w:ascii="Arial" w:hAnsi="Arial" w:cs="Arial"/>
        </w:rPr>
        <w:t>n Stammham, Marktl und</w:t>
      </w:r>
      <w:r w:rsidR="00117CDA">
        <w:rPr>
          <w:rFonts w:ascii="Arial" w:hAnsi="Arial" w:cs="Arial"/>
        </w:rPr>
        <w:t xml:space="preserve"> </w:t>
      </w:r>
      <w:r w:rsidR="00A45C01">
        <w:rPr>
          <w:rFonts w:ascii="Arial" w:hAnsi="Arial" w:cs="Arial"/>
        </w:rPr>
        <w:t>Erlbach</w:t>
      </w:r>
    </w:p>
    <w:p w14:paraId="37020704" w14:textId="77777777" w:rsidR="000A2B19" w:rsidRDefault="000A2B19" w:rsidP="00117CD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Im Landkreis Altötting</w:t>
      </w:r>
    </w:p>
    <w:p w14:paraId="63D3F90C" w14:textId="77777777" w:rsidR="000A2B19" w:rsidRDefault="000A2B19" w:rsidP="00117CDA">
      <w:pPr>
        <w:spacing w:after="0"/>
        <w:jc w:val="center"/>
        <w:rPr>
          <w:rFonts w:ascii="Arial" w:hAnsi="Arial" w:cs="Arial"/>
        </w:rPr>
      </w:pPr>
    </w:p>
    <w:p w14:paraId="56061DF8" w14:textId="77777777" w:rsidR="000A2B19" w:rsidRDefault="000A2B19" w:rsidP="000A2B19">
      <w:pPr>
        <w:spacing w:after="0"/>
        <w:rPr>
          <w:rFonts w:ascii="Arial" w:hAnsi="Arial" w:cs="Arial"/>
        </w:rPr>
      </w:pPr>
    </w:p>
    <w:p w14:paraId="43B8A06A" w14:textId="77777777" w:rsidR="000A2B19" w:rsidRDefault="00AB6B66" w:rsidP="0003364B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Verordnung vom XX.XX.2024</w:t>
      </w:r>
    </w:p>
    <w:p w14:paraId="1CEEDCE0" w14:textId="77777777" w:rsidR="000A2B19" w:rsidRDefault="000A2B19" w:rsidP="0003364B">
      <w:pPr>
        <w:spacing w:after="0"/>
        <w:jc w:val="both"/>
        <w:rPr>
          <w:rFonts w:ascii="Arial" w:hAnsi="Arial" w:cs="Arial"/>
          <w:u w:val="single"/>
        </w:rPr>
      </w:pPr>
    </w:p>
    <w:p w14:paraId="129C331A" w14:textId="77777777" w:rsidR="00801C87" w:rsidRDefault="000A2B19" w:rsidP="0003364B">
      <w:pPr>
        <w:spacing w:after="0"/>
        <w:jc w:val="both"/>
        <w:rPr>
          <w:rFonts w:ascii="Arial" w:hAnsi="Arial" w:cs="Arial"/>
          <w:u w:val="single"/>
        </w:rPr>
      </w:pPr>
      <w:r w:rsidRPr="000A2B19">
        <w:rPr>
          <w:rFonts w:ascii="Arial" w:hAnsi="Arial" w:cs="Arial"/>
          <w:u w:val="single"/>
        </w:rPr>
        <w:t>Anlagen:</w:t>
      </w:r>
    </w:p>
    <w:p w14:paraId="0D6128FE" w14:textId="77777777" w:rsidR="00801C87" w:rsidRDefault="00752569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Übersichtskarte </w:t>
      </w:r>
      <w:r>
        <w:rPr>
          <w:rFonts w:ascii="Arial" w:hAnsi="Arial" w:cs="Arial"/>
        </w:rPr>
        <w:tab/>
        <w:t xml:space="preserve">(M = </w:t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25.0</w:t>
      </w:r>
      <w:r w:rsidR="00801C87">
        <w:rPr>
          <w:rFonts w:ascii="Arial" w:hAnsi="Arial" w:cs="Arial"/>
        </w:rPr>
        <w:t>00)</w:t>
      </w:r>
    </w:p>
    <w:p w14:paraId="636E42C2" w14:textId="77777777" w:rsidR="000A2B19" w:rsidRDefault="00A45C01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52569">
        <w:rPr>
          <w:rFonts w:ascii="Arial" w:hAnsi="Arial" w:cs="Arial"/>
        </w:rPr>
        <w:t xml:space="preserve"> </w:t>
      </w:r>
      <w:r w:rsidR="000A2B19">
        <w:rPr>
          <w:rFonts w:ascii="Arial" w:hAnsi="Arial" w:cs="Arial"/>
        </w:rPr>
        <w:t xml:space="preserve">Detailkarten </w:t>
      </w:r>
      <w:r w:rsidR="000A2B19">
        <w:rPr>
          <w:rFonts w:ascii="Arial" w:hAnsi="Arial" w:cs="Arial"/>
        </w:rPr>
        <w:tab/>
        <w:t xml:space="preserve">(M = </w:t>
      </w:r>
      <w:proofErr w:type="gramStart"/>
      <w:r w:rsidR="000A2B19">
        <w:rPr>
          <w:rFonts w:ascii="Arial" w:hAnsi="Arial" w:cs="Arial"/>
        </w:rPr>
        <w:t>1 :</w:t>
      </w:r>
      <w:proofErr w:type="gramEnd"/>
      <w:r w:rsidR="000A2B19">
        <w:rPr>
          <w:rFonts w:ascii="Arial" w:hAnsi="Arial" w:cs="Arial"/>
        </w:rPr>
        <w:t xml:space="preserve"> 2.500)</w:t>
      </w:r>
    </w:p>
    <w:p w14:paraId="1803E5F2" w14:textId="77777777" w:rsidR="000A2B19" w:rsidRDefault="00903385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K1 – K</w:t>
      </w:r>
      <w:r w:rsidR="00A45C01">
        <w:rPr>
          <w:rFonts w:ascii="Arial" w:hAnsi="Arial" w:cs="Arial"/>
        </w:rPr>
        <w:t>7</w:t>
      </w:r>
    </w:p>
    <w:p w14:paraId="689923BE" w14:textId="77777777" w:rsidR="000A2B19" w:rsidRDefault="000A2B19" w:rsidP="0003364B">
      <w:pPr>
        <w:spacing w:after="0"/>
        <w:jc w:val="both"/>
        <w:rPr>
          <w:rFonts w:ascii="Arial" w:hAnsi="Arial" w:cs="Arial"/>
        </w:rPr>
      </w:pPr>
    </w:p>
    <w:p w14:paraId="55FD1E04" w14:textId="6106818C" w:rsidR="000A2B19" w:rsidRDefault="000A2B19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Das Landratsamt Altötting erlässt aufgrund von § 76 Abs. 2 des Wasserhaushaltsgesetzes (WHG) vom 31. Juli 2009 (BGBl. I S. 2585), das zuletzt durch Art. 2 des Gesetzes vom 4. Dezember 2018 (BGBL. I S. 2254)</w:t>
      </w:r>
      <w:r w:rsidR="00483207">
        <w:rPr>
          <w:rFonts w:ascii="Arial" w:hAnsi="Arial" w:cs="Arial"/>
        </w:rPr>
        <w:t xml:space="preserve"> geändert wurde in Verbindung mit § 11 Nr. 4 Delegationsverordnung (</w:t>
      </w:r>
      <w:proofErr w:type="spellStart"/>
      <w:r w:rsidR="00483207">
        <w:rPr>
          <w:rFonts w:ascii="Arial" w:hAnsi="Arial" w:cs="Arial"/>
        </w:rPr>
        <w:t>DelV</w:t>
      </w:r>
      <w:proofErr w:type="spellEnd"/>
      <w:r w:rsidR="00483207">
        <w:rPr>
          <w:rFonts w:ascii="Arial" w:hAnsi="Arial" w:cs="Arial"/>
        </w:rPr>
        <w:t>) vom 28. Januar 2014 (GVBl. S. 22),</w:t>
      </w:r>
      <w:r w:rsidR="00233C5E" w:rsidRPr="00233C5E">
        <w:rPr>
          <w:rFonts w:ascii="Arial" w:hAnsi="Arial" w:cs="Arial"/>
        </w:rPr>
        <w:t xml:space="preserve"> </w:t>
      </w:r>
      <w:r w:rsidR="00233C5E">
        <w:rPr>
          <w:rFonts w:ascii="Arial" w:hAnsi="Arial" w:cs="Arial"/>
        </w:rPr>
        <w:t>zuletzt geändert durch §§ 1 und 2 der Verordnung vom 03. Dezember 2024 (GVBl. S. 643) und</w:t>
      </w:r>
      <w:r w:rsidR="00483207">
        <w:rPr>
          <w:rFonts w:ascii="Arial" w:hAnsi="Arial" w:cs="Arial"/>
        </w:rPr>
        <w:t xml:space="preserve"> Art. 46 Abs. 3, Art. 63 und Art. 73 des Bayerischen Wassergesetzes (</w:t>
      </w:r>
      <w:proofErr w:type="spellStart"/>
      <w:r w:rsidR="00483207">
        <w:rPr>
          <w:rFonts w:ascii="Arial" w:hAnsi="Arial" w:cs="Arial"/>
        </w:rPr>
        <w:t>BayWG</w:t>
      </w:r>
      <w:proofErr w:type="spellEnd"/>
      <w:r w:rsidR="00483207">
        <w:rPr>
          <w:rFonts w:ascii="Arial" w:hAnsi="Arial" w:cs="Arial"/>
        </w:rPr>
        <w:t xml:space="preserve">) vom 25. Februar 2010 (GVBl. S. 66, </w:t>
      </w:r>
      <w:proofErr w:type="spellStart"/>
      <w:r w:rsidR="00483207">
        <w:rPr>
          <w:rFonts w:ascii="Arial" w:hAnsi="Arial" w:cs="Arial"/>
        </w:rPr>
        <w:t>ber</w:t>
      </w:r>
      <w:proofErr w:type="spellEnd"/>
      <w:r w:rsidR="00483207">
        <w:rPr>
          <w:rFonts w:ascii="Arial" w:hAnsi="Arial" w:cs="Arial"/>
        </w:rPr>
        <w:t>. S. 130), das zuletzt durch § 5 Abs. 18 des Gesetzes vom 23. Dezember 2019 (GVBl. S. 737) geändert wurde, folgende oben bezeichnete Verordnung:</w:t>
      </w:r>
    </w:p>
    <w:p w14:paraId="6A75722B" w14:textId="77777777" w:rsidR="00483207" w:rsidRDefault="00483207" w:rsidP="0003364B">
      <w:pPr>
        <w:spacing w:after="0"/>
        <w:jc w:val="both"/>
        <w:rPr>
          <w:rFonts w:ascii="Arial" w:hAnsi="Arial" w:cs="Arial"/>
        </w:rPr>
      </w:pPr>
    </w:p>
    <w:p w14:paraId="36A9B8FC" w14:textId="77777777" w:rsidR="00483207" w:rsidRDefault="00483207" w:rsidP="0003364B">
      <w:pPr>
        <w:spacing w:after="0"/>
        <w:jc w:val="both"/>
        <w:rPr>
          <w:rFonts w:ascii="Arial" w:hAnsi="Arial" w:cs="Arial"/>
        </w:rPr>
      </w:pPr>
    </w:p>
    <w:p w14:paraId="282A5B76" w14:textId="77777777" w:rsidR="00483207" w:rsidRPr="00483207" w:rsidRDefault="00483207" w:rsidP="0003364B">
      <w:pPr>
        <w:spacing w:after="0"/>
        <w:jc w:val="center"/>
        <w:rPr>
          <w:rFonts w:ascii="Arial" w:hAnsi="Arial" w:cs="Arial"/>
          <w:b/>
        </w:rPr>
      </w:pPr>
      <w:r w:rsidRPr="00483207">
        <w:rPr>
          <w:rFonts w:ascii="Arial" w:hAnsi="Arial" w:cs="Arial"/>
          <w:b/>
        </w:rPr>
        <w:t>§ 1</w:t>
      </w:r>
    </w:p>
    <w:p w14:paraId="7C039561" w14:textId="77777777" w:rsidR="00483207" w:rsidRDefault="00483207" w:rsidP="0003364B">
      <w:pPr>
        <w:spacing w:after="0"/>
        <w:jc w:val="center"/>
        <w:rPr>
          <w:rFonts w:ascii="Arial" w:hAnsi="Arial" w:cs="Arial"/>
          <w:b/>
        </w:rPr>
      </w:pPr>
      <w:r w:rsidRPr="00483207">
        <w:rPr>
          <w:rFonts w:ascii="Arial" w:hAnsi="Arial" w:cs="Arial"/>
          <w:b/>
        </w:rPr>
        <w:t>Allgemeines, Zweck</w:t>
      </w:r>
    </w:p>
    <w:p w14:paraId="3086B070" w14:textId="77777777" w:rsidR="00483207" w:rsidRDefault="00483207" w:rsidP="0003364B">
      <w:pPr>
        <w:spacing w:after="0"/>
        <w:jc w:val="both"/>
        <w:rPr>
          <w:rFonts w:ascii="Arial" w:hAnsi="Arial" w:cs="Arial"/>
        </w:rPr>
      </w:pPr>
    </w:p>
    <w:p w14:paraId="3A2B7874" w14:textId="413F36E7" w:rsidR="00483207" w:rsidRPr="001951EA" w:rsidRDefault="00903385" w:rsidP="0003364B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A45C01">
        <w:rPr>
          <w:rFonts w:ascii="Arial" w:hAnsi="Arial" w:cs="Arial"/>
        </w:rPr>
        <w:t>In den Gemeinden Stammham, Marktl und Erlbach</w:t>
      </w:r>
      <w:r w:rsidR="00752569">
        <w:rPr>
          <w:rFonts w:ascii="Arial" w:hAnsi="Arial" w:cs="Arial"/>
        </w:rPr>
        <w:t xml:space="preserve"> </w:t>
      </w:r>
      <w:r w:rsidR="00483207" w:rsidRPr="001951EA">
        <w:rPr>
          <w:rFonts w:ascii="Arial" w:hAnsi="Arial" w:cs="Arial"/>
        </w:rPr>
        <w:t xml:space="preserve">wird das in § 2 näher beschriebene Überschwemmungsgebiet festgesetzt. </w:t>
      </w:r>
      <w:r>
        <w:rPr>
          <w:rFonts w:ascii="Arial" w:hAnsi="Arial" w:cs="Arial"/>
          <w:vertAlign w:val="superscript"/>
        </w:rPr>
        <w:t>2</w:t>
      </w:r>
      <w:r w:rsidR="00483207" w:rsidRPr="001951EA">
        <w:rPr>
          <w:rFonts w:ascii="Arial" w:hAnsi="Arial" w:cs="Arial"/>
        </w:rPr>
        <w:t xml:space="preserve">Das Überschwemmungsgebiet betrifft die in § 2 dargestellten Flächen, die bei einem 100-jährlichen Hochwasser überschwemmt oder durchflossen oder die für Hochwasserentlastung oder Rückhaltung beansprucht werden. </w:t>
      </w:r>
      <w:r>
        <w:rPr>
          <w:rFonts w:ascii="Arial" w:hAnsi="Arial" w:cs="Arial"/>
          <w:vertAlign w:val="superscript"/>
        </w:rPr>
        <w:t>3</w:t>
      </w:r>
      <w:r w:rsidR="00483207" w:rsidRPr="001951EA">
        <w:rPr>
          <w:rFonts w:ascii="Arial" w:hAnsi="Arial" w:cs="Arial"/>
        </w:rPr>
        <w:t xml:space="preserve">Für dieses Gebiet werden die folgenden Regelungen erlassen. </w:t>
      </w:r>
    </w:p>
    <w:p w14:paraId="30B8C3B9" w14:textId="77777777" w:rsidR="00483207" w:rsidRDefault="00483207" w:rsidP="0003364B">
      <w:pPr>
        <w:spacing w:after="0"/>
        <w:jc w:val="both"/>
        <w:rPr>
          <w:rFonts w:ascii="Arial" w:hAnsi="Arial" w:cs="Arial"/>
        </w:rPr>
      </w:pPr>
    </w:p>
    <w:p w14:paraId="3B3951EB" w14:textId="77777777" w:rsidR="00483207" w:rsidRPr="001951EA" w:rsidRDefault="00903385" w:rsidP="0003364B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483207" w:rsidRPr="001951EA">
        <w:rPr>
          <w:rFonts w:ascii="Arial" w:hAnsi="Arial" w:cs="Arial"/>
        </w:rPr>
        <w:t xml:space="preserve">Die Festsetzung dient der Darstellung einer konkreten, von Natur aus bestehenden Hochwassergefahr in dem betroffenen Bereich. </w:t>
      </w:r>
      <w:r>
        <w:rPr>
          <w:rFonts w:ascii="Arial" w:hAnsi="Arial" w:cs="Arial"/>
          <w:vertAlign w:val="superscript"/>
        </w:rPr>
        <w:t>2</w:t>
      </w:r>
      <w:r w:rsidR="00483207" w:rsidRPr="001951EA">
        <w:rPr>
          <w:rFonts w:ascii="Arial" w:hAnsi="Arial" w:cs="Arial"/>
        </w:rPr>
        <w:t>Zudem werden Bestimmungen zur Vermeidung von Schäden und zum Schutz von Hochwassergefahren getroffen.</w:t>
      </w:r>
    </w:p>
    <w:p w14:paraId="210889AD" w14:textId="77777777" w:rsidR="00483207" w:rsidRDefault="00483207" w:rsidP="0003364B">
      <w:pPr>
        <w:spacing w:after="0"/>
        <w:jc w:val="both"/>
        <w:rPr>
          <w:rFonts w:ascii="Arial" w:hAnsi="Arial" w:cs="Arial"/>
        </w:rPr>
      </w:pPr>
    </w:p>
    <w:p w14:paraId="5F967B80" w14:textId="77777777" w:rsidR="00483207" w:rsidRPr="001951EA" w:rsidRDefault="00903385" w:rsidP="0003364B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483207" w:rsidRPr="001951EA">
        <w:rPr>
          <w:rFonts w:ascii="Arial" w:hAnsi="Arial" w:cs="Arial"/>
        </w:rPr>
        <w:t>Grundlage für die Ermittlung des Überschwemmungsgebiets ist das 100-jährliche Hochwasser</w:t>
      </w:r>
      <w:r w:rsidR="00BD56DC" w:rsidRPr="001951EA">
        <w:rPr>
          <w:rFonts w:ascii="Arial" w:hAnsi="Arial" w:cs="Arial"/>
        </w:rPr>
        <w:t xml:space="preserve"> (im Folgenden Bemessungshochwasser – HQ</w:t>
      </w:r>
      <w:r w:rsidR="00BD56DC" w:rsidRPr="001951EA">
        <w:rPr>
          <w:rFonts w:ascii="Arial" w:hAnsi="Arial" w:cs="Arial"/>
          <w:vertAlign w:val="subscript"/>
        </w:rPr>
        <w:t>100</w:t>
      </w:r>
      <w:r w:rsidR="00BD56DC" w:rsidRPr="001951EA">
        <w:rPr>
          <w:rFonts w:ascii="Arial" w:hAnsi="Arial" w:cs="Arial"/>
        </w:rPr>
        <w:t xml:space="preserve">). </w:t>
      </w:r>
      <w:r>
        <w:rPr>
          <w:rFonts w:ascii="Arial" w:hAnsi="Arial" w:cs="Arial"/>
          <w:vertAlign w:val="superscript"/>
        </w:rPr>
        <w:t>2</w:t>
      </w:r>
      <w:r w:rsidR="00BD56DC" w:rsidRPr="001951EA">
        <w:rPr>
          <w:rFonts w:ascii="Arial" w:hAnsi="Arial" w:cs="Arial"/>
        </w:rPr>
        <w:t xml:space="preserve">Ein 100-jährliches Hochwasser wird an einem Standort im statistischen Durchschnitt in 100 Jahren einmal erreicht oder überschritten. </w:t>
      </w:r>
      <w:r>
        <w:rPr>
          <w:rFonts w:ascii="Arial" w:hAnsi="Arial" w:cs="Arial"/>
          <w:vertAlign w:val="superscript"/>
        </w:rPr>
        <w:t>3</w:t>
      </w:r>
      <w:r w:rsidR="00BD56DC" w:rsidRPr="001951EA">
        <w:rPr>
          <w:rFonts w:ascii="Arial" w:hAnsi="Arial" w:cs="Arial"/>
        </w:rPr>
        <w:t>Da es sich um einen Mittelwert handelt, kann dieser Abfluss innerhalb von 100 Jahren auch mehrfach auftreten.</w:t>
      </w:r>
    </w:p>
    <w:p w14:paraId="2B0CCC8C" w14:textId="77777777" w:rsidR="00752569" w:rsidRDefault="00752569" w:rsidP="0003364B">
      <w:pPr>
        <w:spacing w:after="0"/>
        <w:jc w:val="both"/>
        <w:rPr>
          <w:rFonts w:ascii="Arial" w:hAnsi="Arial" w:cs="Arial"/>
          <w:b/>
        </w:rPr>
      </w:pPr>
    </w:p>
    <w:p w14:paraId="250FD1AE" w14:textId="77777777" w:rsidR="00BD56DC" w:rsidRPr="00BD56DC" w:rsidRDefault="00BD56DC" w:rsidP="0003364B">
      <w:pPr>
        <w:spacing w:after="0"/>
        <w:jc w:val="center"/>
        <w:rPr>
          <w:rFonts w:ascii="Arial" w:hAnsi="Arial" w:cs="Arial"/>
          <w:b/>
        </w:rPr>
      </w:pPr>
      <w:r w:rsidRPr="00BD56DC">
        <w:rPr>
          <w:rFonts w:ascii="Arial" w:hAnsi="Arial" w:cs="Arial"/>
          <w:b/>
        </w:rPr>
        <w:t>§ 2</w:t>
      </w:r>
    </w:p>
    <w:p w14:paraId="6AEBCA3D" w14:textId="77777777" w:rsidR="00BD56DC" w:rsidRDefault="00BD56DC" w:rsidP="0003364B">
      <w:pPr>
        <w:spacing w:after="0"/>
        <w:jc w:val="center"/>
        <w:rPr>
          <w:rFonts w:ascii="Arial" w:hAnsi="Arial" w:cs="Arial"/>
          <w:b/>
        </w:rPr>
      </w:pPr>
      <w:r w:rsidRPr="00BD56DC">
        <w:rPr>
          <w:rFonts w:ascii="Arial" w:hAnsi="Arial" w:cs="Arial"/>
          <w:b/>
        </w:rPr>
        <w:t>Umfang des Überschwemmungsgebiets, Kennzeichnung der Hochwasserlinie</w:t>
      </w:r>
    </w:p>
    <w:p w14:paraId="72BA71AE" w14:textId="77777777" w:rsidR="001951EA" w:rsidRDefault="001951EA" w:rsidP="0003364B">
      <w:pPr>
        <w:spacing w:after="0"/>
        <w:jc w:val="both"/>
        <w:rPr>
          <w:rFonts w:ascii="Arial" w:hAnsi="Arial" w:cs="Arial"/>
          <w:b/>
        </w:rPr>
      </w:pPr>
    </w:p>
    <w:p w14:paraId="75A81339" w14:textId="77777777" w:rsidR="001951EA" w:rsidRPr="00CB7F0E" w:rsidRDefault="00903385" w:rsidP="0003364B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1951EA" w:rsidRPr="00CB7F0E">
        <w:rPr>
          <w:rFonts w:ascii="Arial" w:hAnsi="Arial" w:cs="Arial"/>
        </w:rPr>
        <w:t>Die Grenzen des Überschwemmungsgebiets sind in den im Anhang (Anlagen) veröffentlichten</w:t>
      </w:r>
      <w:r w:rsidR="00056742">
        <w:rPr>
          <w:rFonts w:ascii="Arial" w:hAnsi="Arial" w:cs="Arial"/>
        </w:rPr>
        <w:t xml:space="preserve"> Übersichts-</w:t>
      </w:r>
      <w:r w:rsidR="00A45C01">
        <w:rPr>
          <w:rFonts w:ascii="Arial" w:hAnsi="Arial" w:cs="Arial"/>
        </w:rPr>
        <w:t xml:space="preserve"> </w:t>
      </w:r>
      <w:r w:rsidR="00056742">
        <w:rPr>
          <w:rFonts w:ascii="Arial" w:hAnsi="Arial" w:cs="Arial"/>
        </w:rPr>
        <w:t>und</w:t>
      </w:r>
      <w:r w:rsidR="001951EA" w:rsidRPr="00CB7F0E">
        <w:rPr>
          <w:rFonts w:ascii="Arial" w:hAnsi="Arial" w:cs="Arial"/>
        </w:rPr>
        <w:t xml:space="preserve"> Detailkarten eingetragen. </w:t>
      </w:r>
      <w:r>
        <w:rPr>
          <w:rFonts w:ascii="Arial" w:hAnsi="Arial" w:cs="Arial"/>
          <w:vertAlign w:val="superscript"/>
        </w:rPr>
        <w:t>2</w:t>
      </w:r>
      <w:r w:rsidR="001951EA" w:rsidRPr="00CB7F0E">
        <w:rPr>
          <w:rFonts w:ascii="Arial" w:hAnsi="Arial" w:cs="Arial"/>
        </w:rPr>
        <w:t xml:space="preserve">Maßgeblich für die genaue </w:t>
      </w:r>
      <w:r w:rsidR="001951EA" w:rsidRPr="00CB7F0E">
        <w:rPr>
          <w:rFonts w:ascii="Arial" w:hAnsi="Arial" w:cs="Arial"/>
        </w:rPr>
        <w:lastRenderedPageBreak/>
        <w:t xml:space="preserve">Grenzziehung sind die Detailkarten im Maßstab </w:t>
      </w:r>
      <w:proofErr w:type="gramStart"/>
      <w:r w:rsidR="001951EA" w:rsidRPr="00CB7F0E">
        <w:rPr>
          <w:rFonts w:ascii="Arial" w:hAnsi="Arial" w:cs="Arial"/>
        </w:rPr>
        <w:t>1 :</w:t>
      </w:r>
      <w:proofErr w:type="gramEnd"/>
      <w:r w:rsidR="001951EA" w:rsidRPr="00CB7F0E">
        <w:rPr>
          <w:rFonts w:ascii="Arial" w:hAnsi="Arial" w:cs="Arial"/>
        </w:rPr>
        <w:t xml:space="preserve"> 2.500. </w:t>
      </w:r>
      <w:r>
        <w:rPr>
          <w:rFonts w:ascii="Arial" w:hAnsi="Arial" w:cs="Arial"/>
          <w:vertAlign w:val="superscript"/>
        </w:rPr>
        <w:t>3</w:t>
      </w:r>
      <w:r w:rsidR="001951EA" w:rsidRPr="00CB7F0E">
        <w:rPr>
          <w:rFonts w:ascii="Arial" w:hAnsi="Arial" w:cs="Arial"/>
        </w:rPr>
        <w:t>Die Karten k</w:t>
      </w:r>
      <w:r w:rsidR="00752569">
        <w:rPr>
          <w:rFonts w:ascii="Arial" w:hAnsi="Arial" w:cs="Arial"/>
        </w:rPr>
        <w:t xml:space="preserve">önnen </w:t>
      </w:r>
      <w:r w:rsidR="00A45C01">
        <w:rPr>
          <w:rFonts w:ascii="Arial" w:hAnsi="Arial" w:cs="Arial"/>
        </w:rPr>
        <w:t>im Landratsamt Altötting und den</w:t>
      </w:r>
      <w:r w:rsidR="00752569">
        <w:rPr>
          <w:rFonts w:ascii="Arial" w:hAnsi="Arial" w:cs="Arial"/>
        </w:rPr>
        <w:t xml:space="preserve"> </w:t>
      </w:r>
      <w:r w:rsidR="00D66B35">
        <w:rPr>
          <w:rFonts w:ascii="Arial" w:hAnsi="Arial" w:cs="Arial"/>
        </w:rPr>
        <w:t>Verwaltungsgemeinschaft</w:t>
      </w:r>
      <w:r w:rsidR="00A45C01">
        <w:rPr>
          <w:rFonts w:ascii="Arial" w:hAnsi="Arial" w:cs="Arial"/>
        </w:rPr>
        <w:t>en</w:t>
      </w:r>
      <w:r w:rsidR="00D66B35">
        <w:rPr>
          <w:rFonts w:ascii="Arial" w:hAnsi="Arial" w:cs="Arial"/>
        </w:rPr>
        <w:t xml:space="preserve"> Reischach</w:t>
      </w:r>
      <w:r w:rsidR="00A45C01">
        <w:rPr>
          <w:rFonts w:ascii="Arial" w:hAnsi="Arial" w:cs="Arial"/>
        </w:rPr>
        <w:t xml:space="preserve"> und Marktl am Inn</w:t>
      </w:r>
      <w:r w:rsidR="00752569">
        <w:rPr>
          <w:rFonts w:ascii="Arial" w:hAnsi="Arial" w:cs="Arial"/>
        </w:rPr>
        <w:t xml:space="preserve"> </w:t>
      </w:r>
      <w:r w:rsidR="001951EA" w:rsidRPr="00CB7F0E">
        <w:rPr>
          <w:rFonts w:ascii="Arial" w:hAnsi="Arial" w:cs="Arial"/>
        </w:rPr>
        <w:t xml:space="preserve">während der Öffnungszeiten eingesehen werden. </w:t>
      </w:r>
      <w:r>
        <w:rPr>
          <w:rFonts w:ascii="Arial" w:hAnsi="Arial" w:cs="Arial"/>
          <w:vertAlign w:val="superscript"/>
        </w:rPr>
        <w:t>4</w:t>
      </w:r>
      <w:r w:rsidR="001951EA" w:rsidRPr="00CB7F0E">
        <w:rPr>
          <w:rFonts w:ascii="Arial" w:hAnsi="Arial" w:cs="Arial"/>
        </w:rPr>
        <w:t>Die genaue Grenze verläuft auf der jeweils gekennzeichneten Grundstücksgrenze oder, wenn die Grenze ein Grundstück schneidet, auf der dem Gewässer nähere</w:t>
      </w:r>
      <w:r w:rsidR="00C4121F">
        <w:rPr>
          <w:rFonts w:ascii="Arial" w:hAnsi="Arial" w:cs="Arial"/>
        </w:rPr>
        <w:t>n Kan</w:t>
      </w:r>
      <w:r w:rsidR="001951EA" w:rsidRPr="00CB7F0E">
        <w:rPr>
          <w:rFonts w:ascii="Arial" w:hAnsi="Arial" w:cs="Arial"/>
        </w:rPr>
        <w:t xml:space="preserve">te der gekennzeichneten Linie. </w:t>
      </w:r>
      <w:r>
        <w:rPr>
          <w:rFonts w:ascii="Arial" w:hAnsi="Arial" w:cs="Arial"/>
          <w:vertAlign w:val="superscript"/>
        </w:rPr>
        <w:t>5</w:t>
      </w:r>
      <w:r w:rsidR="001951EA" w:rsidRPr="00CB7F0E">
        <w:rPr>
          <w:rFonts w:ascii="Arial" w:hAnsi="Arial" w:cs="Arial"/>
        </w:rPr>
        <w:t xml:space="preserve">Gänzlich im Überschwemmungsgebiet liegende Gebäude sowie solchen gleichgestellten Gebäuden, die teilweise im Überschwemmungsgebiet liegen, sind in der Detailkarte ebenfalls farblich hervorgehoben. </w:t>
      </w:r>
      <w:r>
        <w:rPr>
          <w:rFonts w:ascii="Arial" w:hAnsi="Arial" w:cs="Arial"/>
          <w:vertAlign w:val="superscript"/>
        </w:rPr>
        <w:t>6</w:t>
      </w:r>
      <w:r w:rsidR="001951EA" w:rsidRPr="00CB7F0E">
        <w:rPr>
          <w:rFonts w:ascii="Arial" w:hAnsi="Arial" w:cs="Arial"/>
        </w:rPr>
        <w:t xml:space="preserve">Die in den Sätzen 1 und 2 genannten Karten sind Bestandteil dieser Verordnung. </w:t>
      </w:r>
    </w:p>
    <w:p w14:paraId="4BF66B04" w14:textId="77777777" w:rsidR="001951EA" w:rsidRDefault="001951EA" w:rsidP="0003364B">
      <w:pPr>
        <w:spacing w:after="0"/>
        <w:jc w:val="both"/>
        <w:rPr>
          <w:rFonts w:ascii="Arial" w:hAnsi="Arial" w:cs="Arial"/>
        </w:rPr>
      </w:pPr>
    </w:p>
    <w:p w14:paraId="4774554A" w14:textId="77777777" w:rsidR="001951EA" w:rsidRPr="00CB7F0E" w:rsidRDefault="001951EA" w:rsidP="0003364B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B7F0E">
        <w:rPr>
          <w:rFonts w:ascii="Arial" w:hAnsi="Arial" w:cs="Arial"/>
        </w:rPr>
        <w:t>Veränderungen der Grenzen oder der Bezeichnungen der im Überschwemmungsgebiet gelegenen Grundstücke berühren die festgesetzten Grenzen des Überschwemmungsgebiets nicht.</w:t>
      </w:r>
    </w:p>
    <w:p w14:paraId="54F8D3BE" w14:textId="77777777" w:rsidR="001951EA" w:rsidRDefault="001951EA" w:rsidP="0003364B">
      <w:pPr>
        <w:spacing w:after="0"/>
        <w:jc w:val="both"/>
        <w:rPr>
          <w:rFonts w:ascii="Arial" w:hAnsi="Arial" w:cs="Arial"/>
        </w:rPr>
      </w:pPr>
    </w:p>
    <w:p w14:paraId="68E01463" w14:textId="77777777" w:rsidR="001951EA" w:rsidRPr="00CB7F0E" w:rsidRDefault="00903385" w:rsidP="0003364B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1951EA" w:rsidRPr="00CB7F0E">
        <w:rPr>
          <w:rFonts w:ascii="Arial" w:hAnsi="Arial" w:cs="Arial"/>
        </w:rPr>
        <w:t>Auskunft über die Höhe der HW</w:t>
      </w:r>
      <w:r w:rsidR="001951EA" w:rsidRPr="00CB7F0E">
        <w:rPr>
          <w:rFonts w:ascii="Arial" w:hAnsi="Arial" w:cs="Arial"/>
          <w:vertAlign w:val="subscript"/>
        </w:rPr>
        <w:t>100</w:t>
      </w:r>
      <w:r w:rsidR="001951EA" w:rsidRPr="00CB7F0E">
        <w:rPr>
          <w:rFonts w:ascii="Arial" w:hAnsi="Arial" w:cs="Arial"/>
        </w:rPr>
        <w:t xml:space="preserve">-Linie (Wasserstand bei 100-jährlichem Hochwasser) erteilt das Wasserwirtschaftsamt Traunstein. </w:t>
      </w:r>
      <w:r>
        <w:rPr>
          <w:rFonts w:ascii="Arial" w:hAnsi="Arial" w:cs="Arial"/>
          <w:vertAlign w:val="superscript"/>
        </w:rPr>
        <w:t>2</w:t>
      </w:r>
      <w:r w:rsidR="001951EA" w:rsidRPr="00CB7F0E">
        <w:rPr>
          <w:rFonts w:ascii="Arial" w:hAnsi="Arial" w:cs="Arial"/>
        </w:rPr>
        <w:t>An öffentlichen Gebäuden und an öffentlichen Anlagen soll die HW</w:t>
      </w:r>
      <w:r w:rsidR="001951EA" w:rsidRPr="00CB7F0E">
        <w:rPr>
          <w:rFonts w:ascii="Arial" w:hAnsi="Arial" w:cs="Arial"/>
          <w:vertAlign w:val="subscript"/>
        </w:rPr>
        <w:t>100</w:t>
      </w:r>
      <w:r w:rsidR="001951EA" w:rsidRPr="00CB7F0E">
        <w:rPr>
          <w:rFonts w:ascii="Arial" w:hAnsi="Arial" w:cs="Arial"/>
        </w:rPr>
        <w:t xml:space="preserve">-Linie als Anhaltspunkt für die Hochwassergefahr für jede Person gut sichtbar gekennzeichnet werden. </w:t>
      </w:r>
    </w:p>
    <w:p w14:paraId="777AF72C" w14:textId="77777777" w:rsidR="00BD56DC" w:rsidRDefault="00BD56DC" w:rsidP="0003364B">
      <w:pPr>
        <w:spacing w:after="0"/>
        <w:jc w:val="both"/>
        <w:rPr>
          <w:rFonts w:ascii="Arial" w:hAnsi="Arial" w:cs="Arial"/>
        </w:rPr>
      </w:pPr>
    </w:p>
    <w:p w14:paraId="436951B0" w14:textId="77777777" w:rsidR="00CB7F0E" w:rsidRPr="00E21AA6" w:rsidRDefault="00CB7F0E" w:rsidP="0003364B">
      <w:pPr>
        <w:spacing w:after="0"/>
        <w:jc w:val="both"/>
        <w:rPr>
          <w:rFonts w:ascii="Arial" w:hAnsi="Arial" w:cs="Arial"/>
        </w:rPr>
      </w:pPr>
    </w:p>
    <w:p w14:paraId="3A6FACC5" w14:textId="77777777" w:rsidR="00CB7F0E" w:rsidRPr="00E21AA6" w:rsidRDefault="00CB7F0E" w:rsidP="0003364B">
      <w:pPr>
        <w:spacing w:after="0"/>
        <w:jc w:val="center"/>
        <w:rPr>
          <w:rFonts w:ascii="Arial" w:hAnsi="Arial" w:cs="Arial"/>
          <w:b/>
        </w:rPr>
      </w:pPr>
      <w:r w:rsidRPr="00E21AA6">
        <w:rPr>
          <w:rFonts w:ascii="Arial" w:hAnsi="Arial" w:cs="Arial"/>
          <w:b/>
        </w:rPr>
        <w:t>§ 3</w:t>
      </w:r>
    </w:p>
    <w:p w14:paraId="6943E79E" w14:textId="77777777" w:rsidR="00CB7F0E" w:rsidRPr="00E21AA6" w:rsidRDefault="00CB7F0E" w:rsidP="0003364B">
      <w:pPr>
        <w:spacing w:after="0"/>
        <w:jc w:val="center"/>
        <w:rPr>
          <w:rFonts w:ascii="Arial" w:hAnsi="Arial" w:cs="Arial"/>
          <w:b/>
        </w:rPr>
      </w:pPr>
      <w:r w:rsidRPr="00E21AA6">
        <w:rPr>
          <w:rFonts w:ascii="Arial" w:hAnsi="Arial" w:cs="Arial"/>
          <w:b/>
        </w:rPr>
        <w:t>Bauleitplanung</w:t>
      </w:r>
      <w:r w:rsidR="00E21AA6">
        <w:rPr>
          <w:rFonts w:ascii="Arial" w:hAnsi="Arial" w:cs="Arial"/>
          <w:b/>
        </w:rPr>
        <w:t>, Errichten und Erweiterung</w:t>
      </w:r>
      <w:r w:rsidRPr="00E21AA6">
        <w:rPr>
          <w:rFonts w:ascii="Arial" w:hAnsi="Arial" w:cs="Arial"/>
          <w:b/>
        </w:rPr>
        <w:t xml:space="preserve"> baulicher Anlagen</w:t>
      </w:r>
    </w:p>
    <w:p w14:paraId="6D19815F" w14:textId="77777777" w:rsidR="00BD56DC" w:rsidRPr="00E21AA6" w:rsidRDefault="00BD56DC" w:rsidP="0003364B">
      <w:pPr>
        <w:spacing w:after="0"/>
        <w:jc w:val="both"/>
        <w:rPr>
          <w:rFonts w:ascii="Arial" w:hAnsi="Arial" w:cs="Arial"/>
        </w:rPr>
      </w:pPr>
    </w:p>
    <w:p w14:paraId="068505B6" w14:textId="77777777" w:rsidR="00117CDA" w:rsidRPr="00E21AA6" w:rsidRDefault="00CB7F0E" w:rsidP="0003364B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21AA6">
        <w:rPr>
          <w:rFonts w:ascii="Arial" w:hAnsi="Arial" w:cs="Arial"/>
        </w:rPr>
        <w:t>Für die Ausweisung neuer Baugebiete sowie die Aufstellung, Änderung oder Ergänzung von Bauleitplänen gilt § 78 Abs. 1 bis 3 WHG.</w:t>
      </w:r>
    </w:p>
    <w:p w14:paraId="3838D5AF" w14:textId="77777777" w:rsidR="00CB7F0E" w:rsidRPr="001618F2" w:rsidRDefault="00CB7F0E" w:rsidP="0003364B">
      <w:pPr>
        <w:spacing w:after="0"/>
        <w:jc w:val="both"/>
        <w:rPr>
          <w:rFonts w:ascii="Arial" w:hAnsi="Arial" w:cs="Arial"/>
          <w:color w:val="FF0000"/>
        </w:rPr>
      </w:pPr>
    </w:p>
    <w:p w14:paraId="776A67BF" w14:textId="77777777" w:rsidR="00E21AA6" w:rsidRDefault="00E21AA6" w:rsidP="0003364B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CB7F0E" w:rsidRPr="00E21AA6">
        <w:rPr>
          <w:rFonts w:ascii="Arial" w:hAnsi="Arial" w:cs="Arial"/>
        </w:rPr>
        <w:t xml:space="preserve">Für die Errichtung und Erweiterung von baulichen Anlagen gilt § 78 Abs. 4, 5 und 7 WHG. </w:t>
      </w:r>
    </w:p>
    <w:p w14:paraId="481B0E09" w14:textId="77777777" w:rsidR="00E21AA6" w:rsidRDefault="00E21AA6" w:rsidP="0003364B">
      <w:pPr>
        <w:spacing w:after="0"/>
        <w:jc w:val="both"/>
        <w:rPr>
          <w:rFonts w:ascii="Arial" w:hAnsi="Arial" w:cs="Arial"/>
          <w:b/>
        </w:rPr>
      </w:pPr>
    </w:p>
    <w:p w14:paraId="50F64EA7" w14:textId="77777777" w:rsidR="00AB6B66" w:rsidRDefault="00AB6B66" w:rsidP="0003364B">
      <w:pPr>
        <w:spacing w:after="0"/>
        <w:jc w:val="both"/>
        <w:rPr>
          <w:rFonts w:ascii="Arial" w:hAnsi="Arial" w:cs="Arial"/>
          <w:b/>
        </w:rPr>
      </w:pPr>
    </w:p>
    <w:p w14:paraId="14343F47" w14:textId="77777777" w:rsidR="00375088" w:rsidRDefault="00375088" w:rsidP="000336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336C3BC5" w14:textId="77777777" w:rsidR="00375088" w:rsidRDefault="00375088" w:rsidP="000336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Sonstige Vorhaben</w:t>
      </w:r>
    </w:p>
    <w:p w14:paraId="5A3DB827" w14:textId="77777777" w:rsidR="00375088" w:rsidRDefault="00375088" w:rsidP="0003364B">
      <w:pPr>
        <w:spacing w:after="0"/>
        <w:jc w:val="both"/>
        <w:rPr>
          <w:rFonts w:ascii="Arial" w:hAnsi="Arial" w:cs="Arial"/>
          <w:b/>
        </w:rPr>
      </w:pPr>
    </w:p>
    <w:p w14:paraId="0CCE83DE" w14:textId="77777777" w:rsidR="00375088" w:rsidRPr="00903385" w:rsidRDefault="00375088" w:rsidP="0003364B">
      <w:pPr>
        <w:spacing w:after="0"/>
        <w:jc w:val="both"/>
        <w:rPr>
          <w:rFonts w:ascii="Arial" w:hAnsi="Arial" w:cs="Arial"/>
        </w:rPr>
      </w:pPr>
      <w:r w:rsidRPr="00903385">
        <w:rPr>
          <w:rFonts w:ascii="Arial" w:hAnsi="Arial" w:cs="Arial"/>
        </w:rPr>
        <w:t>Für sonstige Vorhaben nach § 78a Abs. 1 Satz 1 Nrn. 1 bis 6 und Nr. 8 WHG gilt § 78a Abs. 2 WHG.</w:t>
      </w:r>
    </w:p>
    <w:p w14:paraId="69A58B00" w14:textId="77777777" w:rsidR="00375088" w:rsidRDefault="00375088" w:rsidP="0003364B">
      <w:pPr>
        <w:spacing w:after="0"/>
        <w:jc w:val="both"/>
        <w:rPr>
          <w:rFonts w:ascii="Arial" w:hAnsi="Arial" w:cs="Arial"/>
        </w:rPr>
      </w:pPr>
    </w:p>
    <w:p w14:paraId="0ED2776A" w14:textId="77777777" w:rsidR="00375088" w:rsidRPr="00375088" w:rsidRDefault="00375088" w:rsidP="0003364B">
      <w:pPr>
        <w:spacing w:after="0"/>
        <w:jc w:val="both"/>
        <w:rPr>
          <w:rFonts w:ascii="Arial" w:hAnsi="Arial" w:cs="Arial"/>
        </w:rPr>
      </w:pPr>
    </w:p>
    <w:p w14:paraId="3B3BCD03" w14:textId="77777777" w:rsidR="00375088" w:rsidRDefault="00375088" w:rsidP="000336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0034CC14" w14:textId="77777777" w:rsidR="00375088" w:rsidRDefault="00375088" w:rsidP="000336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Heizölverbraucheranlagen</w:t>
      </w:r>
    </w:p>
    <w:p w14:paraId="0485C288" w14:textId="77777777" w:rsidR="00375088" w:rsidRDefault="00375088" w:rsidP="0003364B">
      <w:pPr>
        <w:spacing w:after="0"/>
        <w:jc w:val="both"/>
        <w:rPr>
          <w:rFonts w:ascii="Arial" w:hAnsi="Arial" w:cs="Arial"/>
          <w:b/>
        </w:rPr>
      </w:pPr>
    </w:p>
    <w:p w14:paraId="1A8495C8" w14:textId="77777777" w:rsidR="00375088" w:rsidRPr="00375088" w:rsidRDefault="00375088" w:rsidP="0003364B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75088">
        <w:rPr>
          <w:rFonts w:ascii="Arial" w:hAnsi="Arial" w:cs="Arial"/>
        </w:rPr>
        <w:t>Für die Errichtung neuer Heizölverbraucheranlagen gilt § 78c Abs. 1 WHG.</w:t>
      </w:r>
    </w:p>
    <w:p w14:paraId="6B72C83F" w14:textId="77777777" w:rsidR="00375088" w:rsidRDefault="00375088" w:rsidP="0003364B">
      <w:pPr>
        <w:spacing w:after="0"/>
        <w:jc w:val="both"/>
        <w:rPr>
          <w:rFonts w:ascii="Arial" w:hAnsi="Arial" w:cs="Arial"/>
        </w:rPr>
      </w:pPr>
    </w:p>
    <w:p w14:paraId="2D790173" w14:textId="77777777" w:rsidR="00375088" w:rsidRPr="00375088" w:rsidRDefault="00375088" w:rsidP="0003364B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75088">
        <w:rPr>
          <w:rFonts w:ascii="Arial" w:hAnsi="Arial" w:cs="Arial"/>
        </w:rPr>
        <w:t>Für bestehende Heizölverbraucheranlagen gilt § 6 Abs. 1</w:t>
      </w:r>
      <w:r w:rsidR="00FE45A9">
        <w:rPr>
          <w:rFonts w:ascii="Arial" w:hAnsi="Arial" w:cs="Arial"/>
        </w:rPr>
        <w:t>.</w:t>
      </w:r>
    </w:p>
    <w:p w14:paraId="163971DF" w14:textId="77777777" w:rsidR="00375088" w:rsidRDefault="00375088" w:rsidP="0003364B">
      <w:pPr>
        <w:spacing w:after="0"/>
        <w:jc w:val="both"/>
        <w:rPr>
          <w:rFonts w:ascii="Arial" w:hAnsi="Arial" w:cs="Arial"/>
        </w:rPr>
      </w:pPr>
    </w:p>
    <w:p w14:paraId="34D22A5D" w14:textId="77777777" w:rsidR="00375088" w:rsidRDefault="00375088" w:rsidP="0003364B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75088">
        <w:rPr>
          <w:rFonts w:ascii="Arial" w:hAnsi="Arial" w:cs="Arial"/>
        </w:rPr>
        <w:t>Für die Prüfpflicht neuer und bestehender Heizölverbraucheranlagen gilt § 6 Abs. 3.</w:t>
      </w:r>
    </w:p>
    <w:p w14:paraId="7DB00E05" w14:textId="77777777" w:rsidR="00375088" w:rsidRDefault="00375088" w:rsidP="00AD7C1B">
      <w:pPr>
        <w:spacing w:after="0"/>
        <w:rPr>
          <w:rFonts w:ascii="Arial" w:hAnsi="Arial" w:cs="Arial"/>
        </w:rPr>
      </w:pPr>
    </w:p>
    <w:p w14:paraId="6616C6A8" w14:textId="77777777" w:rsidR="00A45C01" w:rsidRDefault="00A45C01" w:rsidP="0003364B">
      <w:pPr>
        <w:spacing w:after="0"/>
        <w:jc w:val="center"/>
        <w:rPr>
          <w:rFonts w:ascii="Arial" w:hAnsi="Arial" w:cs="Arial"/>
          <w:b/>
        </w:rPr>
      </w:pPr>
    </w:p>
    <w:p w14:paraId="12D00A27" w14:textId="77777777" w:rsidR="00A45C01" w:rsidRDefault="00A45C01" w:rsidP="0003364B">
      <w:pPr>
        <w:spacing w:after="0"/>
        <w:jc w:val="center"/>
        <w:rPr>
          <w:rFonts w:ascii="Arial" w:hAnsi="Arial" w:cs="Arial"/>
          <w:b/>
        </w:rPr>
      </w:pPr>
    </w:p>
    <w:p w14:paraId="52223BF4" w14:textId="77777777" w:rsidR="00A45C01" w:rsidRDefault="00A45C01" w:rsidP="0003364B">
      <w:pPr>
        <w:spacing w:after="0"/>
        <w:jc w:val="center"/>
        <w:rPr>
          <w:rFonts w:ascii="Arial" w:hAnsi="Arial" w:cs="Arial"/>
          <w:b/>
        </w:rPr>
      </w:pPr>
    </w:p>
    <w:p w14:paraId="0662EBEA" w14:textId="77777777" w:rsidR="00A45C01" w:rsidRDefault="00A45C01" w:rsidP="0003364B">
      <w:pPr>
        <w:spacing w:after="0"/>
        <w:jc w:val="center"/>
        <w:rPr>
          <w:rFonts w:ascii="Arial" w:hAnsi="Arial" w:cs="Arial"/>
          <w:b/>
        </w:rPr>
      </w:pPr>
    </w:p>
    <w:p w14:paraId="1C01358B" w14:textId="77777777" w:rsidR="00A45C01" w:rsidRDefault="00A45C01" w:rsidP="0003364B">
      <w:pPr>
        <w:spacing w:after="0"/>
        <w:jc w:val="center"/>
        <w:rPr>
          <w:rFonts w:ascii="Arial" w:hAnsi="Arial" w:cs="Arial"/>
          <w:b/>
        </w:rPr>
      </w:pPr>
    </w:p>
    <w:p w14:paraId="756FDE8C" w14:textId="77777777" w:rsidR="00375088" w:rsidRPr="00FE45A9" w:rsidRDefault="00375088" w:rsidP="0003364B">
      <w:pPr>
        <w:spacing w:after="0"/>
        <w:jc w:val="center"/>
        <w:rPr>
          <w:rFonts w:ascii="Arial" w:hAnsi="Arial" w:cs="Arial"/>
          <w:b/>
        </w:rPr>
      </w:pPr>
      <w:r w:rsidRPr="00FE45A9">
        <w:rPr>
          <w:rFonts w:ascii="Arial" w:hAnsi="Arial" w:cs="Arial"/>
          <w:b/>
        </w:rPr>
        <w:lastRenderedPageBreak/>
        <w:t>§ 6</w:t>
      </w:r>
    </w:p>
    <w:p w14:paraId="5FB9A4E2" w14:textId="77777777" w:rsidR="00375088" w:rsidRPr="00FE45A9" w:rsidRDefault="00375088" w:rsidP="0003364B">
      <w:pPr>
        <w:spacing w:after="0"/>
        <w:jc w:val="center"/>
        <w:rPr>
          <w:rFonts w:ascii="Arial" w:hAnsi="Arial" w:cs="Arial"/>
          <w:b/>
        </w:rPr>
      </w:pPr>
      <w:r w:rsidRPr="00FE45A9">
        <w:rPr>
          <w:rFonts w:ascii="Arial" w:hAnsi="Arial" w:cs="Arial"/>
          <w:b/>
        </w:rPr>
        <w:t>Anlagen zum Umgang mit wassergefährdenden Stoffen</w:t>
      </w:r>
    </w:p>
    <w:p w14:paraId="6FF74E09" w14:textId="77777777" w:rsidR="00375088" w:rsidRPr="00FE45A9" w:rsidRDefault="00375088" w:rsidP="0003364B">
      <w:pPr>
        <w:spacing w:after="0"/>
        <w:jc w:val="both"/>
        <w:rPr>
          <w:rFonts w:ascii="Arial" w:hAnsi="Arial" w:cs="Arial"/>
        </w:rPr>
      </w:pPr>
    </w:p>
    <w:p w14:paraId="7D79AA99" w14:textId="77777777" w:rsidR="00375088" w:rsidRPr="00FE45A9" w:rsidRDefault="00FE45A9" w:rsidP="0003364B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375088" w:rsidRPr="00FE45A9">
        <w:rPr>
          <w:rFonts w:ascii="Arial" w:hAnsi="Arial" w:cs="Arial"/>
        </w:rPr>
        <w:t>Für die Errichtung und den Betrieb von Anlagen zum Umgang mit wassergefährdenden Stoffen gilt § 50 der Verordnung über Anlagen zum Umgang mit wassergefährdenden Stoffen (</w:t>
      </w:r>
      <w:proofErr w:type="spellStart"/>
      <w:r w:rsidR="00375088" w:rsidRPr="00FE45A9">
        <w:rPr>
          <w:rFonts w:ascii="Arial" w:hAnsi="Arial" w:cs="Arial"/>
        </w:rPr>
        <w:t>AwSV</w:t>
      </w:r>
      <w:proofErr w:type="spellEnd"/>
      <w:r w:rsidR="00375088" w:rsidRPr="00FE45A9">
        <w:rPr>
          <w:rFonts w:ascii="Arial" w:hAnsi="Arial" w:cs="Arial"/>
        </w:rPr>
        <w:t>)</w:t>
      </w:r>
      <w:r w:rsidR="007C3D34">
        <w:rPr>
          <w:rFonts w:ascii="Arial" w:hAnsi="Arial" w:cs="Arial"/>
        </w:rPr>
        <w:t xml:space="preserve"> </w:t>
      </w:r>
      <w:r w:rsidR="007C3D34" w:rsidRPr="00B05F21">
        <w:rPr>
          <w:rFonts w:ascii="Arial" w:hAnsi="Arial" w:cs="Arial"/>
        </w:rPr>
        <w:t>sowie die Bestimmungen des Wasserhaushaltsgesetzes (WHG)</w:t>
      </w:r>
      <w:r w:rsidR="00375088" w:rsidRPr="00B05F21">
        <w:rPr>
          <w:rFonts w:ascii="Arial" w:hAnsi="Arial" w:cs="Arial"/>
        </w:rPr>
        <w:t>.</w:t>
      </w:r>
      <w:r w:rsidRPr="00B05F21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Wesentliche Änderungen an Anlagen zum Umgang mit wassergefährdenden Stoffen sind zum Änderungszeitpunkt hochwassersicher auszuführen.</w:t>
      </w:r>
    </w:p>
    <w:p w14:paraId="3F92AF2F" w14:textId="77777777" w:rsidR="00375088" w:rsidRPr="001618F2" w:rsidRDefault="00375088" w:rsidP="0003364B">
      <w:pPr>
        <w:spacing w:after="0"/>
        <w:jc w:val="both"/>
        <w:rPr>
          <w:rFonts w:ascii="Arial" w:hAnsi="Arial" w:cs="Arial"/>
          <w:color w:val="FF0000"/>
        </w:rPr>
      </w:pPr>
    </w:p>
    <w:p w14:paraId="795784CC" w14:textId="77777777" w:rsidR="00375088" w:rsidRPr="004C750E" w:rsidRDefault="00375088" w:rsidP="0003364B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C750E">
        <w:rPr>
          <w:rFonts w:ascii="Arial" w:hAnsi="Arial" w:cs="Arial"/>
        </w:rPr>
        <w:t xml:space="preserve">Für die Errichtung und den Betrieb von Jauche-, Gülle- und </w:t>
      </w:r>
      <w:proofErr w:type="spellStart"/>
      <w:r w:rsidRPr="004C750E">
        <w:rPr>
          <w:rFonts w:ascii="Arial" w:hAnsi="Arial" w:cs="Arial"/>
        </w:rPr>
        <w:t>Silagesickersaftanlagen</w:t>
      </w:r>
      <w:proofErr w:type="spellEnd"/>
      <w:r w:rsidRPr="004C750E">
        <w:rPr>
          <w:rFonts w:ascii="Arial" w:hAnsi="Arial" w:cs="Arial"/>
        </w:rPr>
        <w:t xml:space="preserve"> (JGS-Anlagen) im Sinne des § 2 Abs. 13 </w:t>
      </w:r>
      <w:proofErr w:type="spellStart"/>
      <w:r w:rsidRPr="004C750E">
        <w:rPr>
          <w:rFonts w:ascii="Arial" w:hAnsi="Arial" w:cs="Arial"/>
        </w:rPr>
        <w:t>AwSV</w:t>
      </w:r>
      <w:proofErr w:type="spellEnd"/>
      <w:r w:rsidRPr="004C750E">
        <w:rPr>
          <w:rFonts w:ascii="Arial" w:hAnsi="Arial" w:cs="Arial"/>
        </w:rPr>
        <w:t xml:space="preserve"> gelten die Bestimmungen der </w:t>
      </w:r>
      <w:r w:rsidR="00C4121F" w:rsidRPr="004C750E">
        <w:rPr>
          <w:rFonts w:ascii="Arial" w:hAnsi="Arial" w:cs="Arial"/>
        </w:rPr>
        <w:t xml:space="preserve">Nrn. 8.2 und 8.3 Anlage 7 </w:t>
      </w:r>
      <w:proofErr w:type="spellStart"/>
      <w:r w:rsidR="00C4121F" w:rsidRPr="004C750E">
        <w:rPr>
          <w:rFonts w:ascii="Arial" w:hAnsi="Arial" w:cs="Arial"/>
        </w:rPr>
        <w:t>AwSV</w:t>
      </w:r>
      <w:proofErr w:type="spellEnd"/>
      <w:r w:rsidR="00C4121F" w:rsidRPr="004C750E">
        <w:rPr>
          <w:rFonts w:ascii="Arial" w:hAnsi="Arial" w:cs="Arial"/>
        </w:rPr>
        <w:t>.</w:t>
      </w:r>
    </w:p>
    <w:p w14:paraId="2D8E8770" w14:textId="77777777" w:rsidR="00375088" w:rsidRPr="001618F2" w:rsidRDefault="00375088" w:rsidP="0003364B">
      <w:pPr>
        <w:spacing w:after="0"/>
        <w:jc w:val="both"/>
        <w:rPr>
          <w:rFonts w:ascii="Arial" w:hAnsi="Arial" w:cs="Arial"/>
          <w:color w:val="FF0000"/>
        </w:rPr>
      </w:pPr>
    </w:p>
    <w:p w14:paraId="4FEE9AF2" w14:textId="77777777" w:rsidR="008A2E82" w:rsidRPr="00AB6B66" w:rsidRDefault="00903385" w:rsidP="0003364B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A78EF">
        <w:rPr>
          <w:rFonts w:ascii="Arial" w:hAnsi="Arial" w:cs="Arial"/>
          <w:vertAlign w:val="superscript"/>
        </w:rPr>
        <w:t>1</w:t>
      </w:r>
      <w:r w:rsidR="00375088" w:rsidRPr="009A78EF">
        <w:rPr>
          <w:rFonts w:ascii="Arial" w:hAnsi="Arial" w:cs="Arial"/>
        </w:rPr>
        <w:t xml:space="preserve">Bei prüfpflichtigen Anlagen zum Umgang mit wassergefährdenden Stoffen im Geltungsbereich dieser Verordnung sind gemäß § 46 Abs. 3 </w:t>
      </w:r>
      <w:proofErr w:type="spellStart"/>
      <w:r w:rsidR="00375088" w:rsidRPr="009A78EF">
        <w:rPr>
          <w:rFonts w:ascii="Arial" w:hAnsi="Arial" w:cs="Arial"/>
        </w:rPr>
        <w:t>AwSV</w:t>
      </w:r>
      <w:proofErr w:type="spellEnd"/>
      <w:r w:rsidR="00375088" w:rsidRPr="009A78EF">
        <w:rPr>
          <w:rFonts w:ascii="Arial" w:hAnsi="Arial" w:cs="Arial"/>
        </w:rPr>
        <w:t xml:space="preserve"> die Prüfzeitpunkte und Prüfintervalle nach Maßgabe der Anlage 6 </w:t>
      </w:r>
      <w:proofErr w:type="spellStart"/>
      <w:r w:rsidR="00375088" w:rsidRPr="009A78EF">
        <w:rPr>
          <w:rFonts w:ascii="Arial" w:hAnsi="Arial" w:cs="Arial"/>
        </w:rPr>
        <w:t>AwSV</w:t>
      </w:r>
      <w:proofErr w:type="spellEnd"/>
      <w:r w:rsidR="00375088" w:rsidRPr="009A78EF">
        <w:rPr>
          <w:rFonts w:ascii="Arial" w:hAnsi="Arial" w:cs="Arial"/>
        </w:rPr>
        <w:t xml:space="preserve"> zu beachten. </w:t>
      </w:r>
      <w:r w:rsidRPr="009A78EF">
        <w:rPr>
          <w:rFonts w:ascii="Arial" w:hAnsi="Arial" w:cs="Arial"/>
          <w:vertAlign w:val="superscript"/>
        </w:rPr>
        <w:t>2</w:t>
      </w:r>
      <w:r w:rsidR="00375088" w:rsidRPr="009A78EF">
        <w:rPr>
          <w:rFonts w:ascii="Arial" w:hAnsi="Arial" w:cs="Arial"/>
        </w:rPr>
        <w:t xml:space="preserve">Bestehende Anlagen zum Umgang mit wassergefährdenden Stoffen im Geltungsbereich dieser Verordnung, die nach § 46 Abs. 3 i. V. m. Anlage 6 </w:t>
      </w:r>
      <w:proofErr w:type="spellStart"/>
      <w:r w:rsidR="00375088" w:rsidRPr="009A78EF">
        <w:rPr>
          <w:rFonts w:ascii="Arial" w:hAnsi="Arial" w:cs="Arial"/>
        </w:rPr>
        <w:t>AwSV</w:t>
      </w:r>
      <w:proofErr w:type="spellEnd"/>
      <w:r w:rsidR="00375088" w:rsidRPr="009A78EF">
        <w:rPr>
          <w:rFonts w:ascii="Arial" w:hAnsi="Arial" w:cs="Arial"/>
        </w:rPr>
        <w:t xml:space="preserve"> auf ihre Hochwassersicherheit geprüft worden sind, sind</w:t>
      </w:r>
      <w:r w:rsidR="00372307" w:rsidRPr="009A78EF">
        <w:rPr>
          <w:rFonts w:ascii="Arial" w:hAnsi="Arial" w:cs="Arial"/>
        </w:rPr>
        <w:t xml:space="preserve"> bis 6 Monate nach Inkrafttreten der Verordnung</w:t>
      </w:r>
      <w:r w:rsidR="00372307" w:rsidRPr="009A78EF">
        <w:rPr>
          <w:rStyle w:val="Funotenzeichen"/>
          <w:rFonts w:ascii="Arial" w:hAnsi="Arial" w:cs="Arial"/>
        </w:rPr>
        <w:footnoteReference w:id="1"/>
      </w:r>
      <w:r w:rsidR="00375088" w:rsidRPr="009A78EF">
        <w:rPr>
          <w:rFonts w:ascii="Arial" w:hAnsi="Arial" w:cs="Arial"/>
        </w:rPr>
        <w:t xml:space="preserve"> erstmalig durch einen Sachve</w:t>
      </w:r>
      <w:r w:rsidR="00C4121F" w:rsidRPr="009A78EF">
        <w:rPr>
          <w:rFonts w:ascii="Arial" w:hAnsi="Arial" w:cs="Arial"/>
        </w:rPr>
        <w:t>r</w:t>
      </w:r>
      <w:r w:rsidR="00375088" w:rsidRPr="009A78EF">
        <w:rPr>
          <w:rFonts w:ascii="Arial" w:hAnsi="Arial" w:cs="Arial"/>
        </w:rPr>
        <w:t xml:space="preserve">ständigen nach </w:t>
      </w:r>
      <w:proofErr w:type="spellStart"/>
      <w:r w:rsidR="00375088" w:rsidRPr="009A78EF">
        <w:rPr>
          <w:rFonts w:ascii="Arial" w:hAnsi="Arial" w:cs="Arial"/>
        </w:rPr>
        <w:t>AwSV</w:t>
      </w:r>
      <w:proofErr w:type="spellEnd"/>
      <w:r w:rsidR="00375088" w:rsidRPr="009A78EF">
        <w:rPr>
          <w:rFonts w:ascii="Arial" w:hAnsi="Arial" w:cs="Arial"/>
        </w:rPr>
        <w:t xml:space="preserve"> prüfen zu lassen. </w:t>
      </w:r>
      <w:r w:rsidRPr="009A78EF">
        <w:rPr>
          <w:rFonts w:ascii="Arial" w:hAnsi="Arial" w:cs="Arial"/>
          <w:vertAlign w:val="superscript"/>
        </w:rPr>
        <w:t>3</w:t>
      </w:r>
      <w:r w:rsidR="00375088" w:rsidRPr="009A78EF">
        <w:rPr>
          <w:rFonts w:ascii="Arial" w:hAnsi="Arial" w:cs="Arial"/>
        </w:rPr>
        <w:t xml:space="preserve">Ablauf und Durchführung richten sich nach der </w:t>
      </w:r>
      <w:proofErr w:type="spellStart"/>
      <w:r w:rsidR="00375088" w:rsidRPr="009A78EF">
        <w:rPr>
          <w:rFonts w:ascii="Arial" w:hAnsi="Arial" w:cs="Arial"/>
        </w:rPr>
        <w:t>AwSV</w:t>
      </w:r>
      <w:proofErr w:type="spellEnd"/>
      <w:r w:rsidR="00375088" w:rsidRPr="009A78EF">
        <w:rPr>
          <w:rFonts w:ascii="Arial" w:hAnsi="Arial" w:cs="Arial"/>
        </w:rPr>
        <w:t xml:space="preserve">. </w:t>
      </w:r>
      <w:r w:rsidRPr="009A78EF">
        <w:rPr>
          <w:rFonts w:ascii="Arial" w:hAnsi="Arial" w:cs="Arial"/>
          <w:vertAlign w:val="superscript"/>
        </w:rPr>
        <w:t>4</w:t>
      </w:r>
      <w:r w:rsidR="00375088" w:rsidRPr="009A78EF">
        <w:rPr>
          <w:rFonts w:ascii="Arial" w:hAnsi="Arial" w:cs="Arial"/>
        </w:rPr>
        <w:t xml:space="preserve">Mit dem Abschluss dieser Prüfung beginnt die Frist für wiederkehrende Prüfungen dieser Anlagen nach </w:t>
      </w:r>
      <w:proofErr w:type="spellStart"/>
      <w:r w:rsidR="00375088" w:rsidRPr="009A78EF">
        <w:rPr>
          <w:rFonts w:ascii="Arial" w:hAnsi="Arial" w:cs="Arial"/>
        </w:rPr>
        <w:t>AwSV</w:t>
      </w:r>
      <w:proofErr w:type="spellEnd"/>
      <w:r w:rsidR="00375088" w:rsidRPr="009A78EF">
        <w:rPr>
          <w:rFonts w:ascii="Arial" w:hAnsi="Arial" w:cs="Arial"/>
        </w:rPr>
        <w:t xml:space="preserve">. </w:t>
      </w:r>
      <w:r w:rsidRPr="009A78EF">
        <w:rPr>
          <w:rFonts w:ascii="Arial" w:hAnsi="Arial" w:cs="Arial"/>
          <w:vertAlign w:val="superscript"/>
        </w:rPr>
        <w:t>5</w:t>
      </w:r>
      <w:r w:rsidR="00375088" w:rsidRPr="009A78EF">
        <w:rPr>
          <w:rFonts w:ascii="Arial" w:hAnsi="Arial" w:cs="Arial"/>
        </w:rPr>
        <w:t xml:space="preserve">Weitergehende Regelungen in Einzelfallanordnungen nach </w:t>
      </w:r>
      <w:proofErr w:type="spellStart"/>
      <w:r w:rsidR="00375088" w:rsidRPr="009A78EF">
        <w:rPr>
          <w:rFonts w:ascii="Arial" w:hAnsi="Arial" w:cs="Arial"/>
        </w:rPr>
        <w:t>AwSV</w:t>
      </w:r>
      <w:proofErr w:type="spellEnd"/>
      <w:r w:rsidR="00375088" w:rsidRPr="009A78EF">
        <w:rPr>
          <w:rFonts w:ascii="Arial" w:hAnsi="Arial" w:cs="Arial"/>
        </w:rPr>
        <w:t xml:space="preserve"> oder in behördlichen Zulassungen für die Anlage bleiben unberührt. </w:t>
      </w:r>
    </w:p>
    <w:p w14:paraId="0FBB05CA" w14:textId="77777777" w:rsidR="009A78EF" w:rsidRDefault="009A78EF" w:rsidP="0003364B">
      <w:pPr>
        <w:spacing w:after="0"/>
        <w:jc w:val="both"/>
        <w:rPr>
          <w:rFonts w:ascii="Arial" w:hAnsi="Arial" w:cs="Arial"/>
          <w:b/>
        </w:rPr>
      </w:pPr>
    </w:p>
    <w:p w14:paraId="14D9E1FD" w14:textId="77777777" w:rsidR="009A78EF" w:rsidRDefault="009A78EF" w:rsidP="0003364B">
      <w:pPr>
        <w:spacing w:after="0"/>
        <w:jc w:val="both"/>
        <w:rPr>
          <w:rFonts w:ascii="Arial" w:hAnsi="Arial" w:cs="Arial"/>
          <w:b/>
        </w:rPr>
      </w:pPr>
    </w:p>
    <w:p w14:paraId="05BF64F4" w14:textId="77777777" w:rsidR="008A2E82" w:rsidRPr="008A2E82" w:rsidRDefault="008A2E82" w:rsidP="0003364B">
      <w:pPr>
        <w:spacing w:after="0"/>
        <w:jc w:val="center"/>
        <w:rPr>
          <w:rFonts w:ascii="Arial" w:hAnsi="Arial" w:cs="Arial"/>
          <w:b/>
        </w:rPr>
      </w:pPr>
      <w:r w:rsidRPr="008A2E82">
        <w:rPr>
          <w:rFonts w:ascii="Arial" w:hAnsi="Arial" w:cs="Arial"/>
          <w:b/>
        </w:rPr>
        <w:t>§ 7</w:t>
      </w:r>
    </w:p>
    <w:p w14:paraId="1A90A768" w14:textId="77777777" w:rsidR="008A2E82" w:rsidRDefault="008A2E82" w:rsidP="0003364B">
      <w:pPr>
        <w:spacing w:after="0"/>
        <w:jc w:val="center"/>
        <w:rPr>
          <w:rFonts w:ascii="Arial" w:hAnsi="Arial" w:cs="Arial"/>
          <w:b/>
        </w:rPr>
      </w:pPr>
      <w:r w:rsidRPr="008A2E82">
        <w:rPr>
          <w:rFonts w:ascii="Arial" w:hAnsi="Arial" w:cs="Arial"/>
          <w:b/>
        </w:rPr>
        <w:t>Antragstellung</w:t>
      </w:r>
    </w:p>
    <w:p w14:paraId="3A72EE30" w14:textId="77777777" w:rsidR="008A2E82" w:rsidRDefault="008A2E82" w:rsidP="0003364B">
      <w:pPr>
        <w:spacing w:after="0"/>
        <w:jc w:val="both"/>
        <w:rPr>
          <w:rFonts w:ascii="Arial" w:hAnsi="Arial" w:cs="Arial"/>
          <w:b/>
        </w:rPr>
      </w:pPr>
    </w:p>
    <w:p w14:paraId="6628841F" w14:textId="77777777" w:rsidR="00B61986" w:rsidRDefault="00903385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8A2E82">
        <w:rPr>
          <w:rFonts w:ascii="Arial" w:hAnsi="Arial" w:cs="Arial"/>
        </w:rPr>
        <w:t xml:space="preserve">Mit dem Genehmigungsantrag nach § 78 Abs. 5 Satz 1 WHG sind für bauliche Anlagen in entsprechender Anwendung der für Bauvorlagen geltenden Bestimmungen der Bayerischen Bauordnung die zur Beurteilung erforderlichen und geeigneten Unterlagen vorzulegen. </w:t>
      </w:r>
      <w:r>
        <w:rPr>
          <w:rFonts w:ascii="Arial" w:hAnsi="Arial" w:cs="Arial"/>
          <w:vertAlign w:val="superscript"/>
        </w:rPr>
        <w:t>2</w:t>
      </w:r>
      <w:r w:rsidR="008A2E82">
        <w:rPr>
          <w:rFonts w:ascii="Arial" w:hAnsi="Arial" w:cs="Arial"/>
        </w:rPr>
        <w:t xml:space="preserve">Vorlagepflichten nach der Verordnung über Pläne und Beilagen in wasserrechtlichen Verfahren </w:t>
      </w:r>
    </w:p>
    <w:p w14:paraId="3B618D8D" w14:textId="77777777" w:rsidR="008A2E82" w:rsidRDefault="008A2E82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(WPBV) vom 13. März 2000 (GVBl. S. 156, zuletzt geändert durch Verordnung vom 20. Oktober 2010 GVBl. S. 727) bleiben unberührt. </w:t>
      </w:r>
    </w:p>
    <w:p w14:paraId="28803078" w14:textId="77777777" w:rsidR="008A2E82" w:rsidRDefault="008A2E82" w:rsidP="0003364B">
      <w:pPr>
        <w:spacing w:after="0"/>
        <w:jc w:val="both"/>
        <w:rPr>
          <w:rFonts w:ascii="Arial" w:hAnsi="Arial" w:cs="Arial"/>
        </w:rPr>
      </w:pPr>
    </w:p>
    <w:p w14:paraId="58D021B1" w14:textId="77777777" w:rsidR="008A2E82" w:rsidRDefault="008A2E82" w:rsidP="0003364B">
      <w:pPr>
        <w:spacing w:after="0"/>
        <w:jc w:val="both"/>
        <w:rPr>
          <w:rFonts w:ascii="Arial" w:hAnsi="Arial" w:cs="Arial"/>
        </w:rPr>
      </w:pPr>
    </w:p>
    <w:p w14:paraId="43A962AF" w14:textId="77777777" w:rsidR="008A2E82" w:rsidRDefault="008A2E82" w:rsidP="000336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543BB62E" w14:textId="77777777" w:rsidR="008A2E82" w:rsidRDefault="008A2E82" w:rsidP="000336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Inkrafttreten</w:t>
      </w:r>
    </w:p>
    <w:p w14:paraId="11C8DE0D" w14:textId="77777777" w:rsidR="008A2E82" w:rsidRDefault="008A2E82" w:rsidP="0003364B">
      <w:pPr>
        <w:spacing w:after="0"/>
        <w:jc w:val="both"/>
        <w:rPr>
          <w:rFonts w:ascii="Arial" w:hAnsi="Arial" w:cs="Arial"/>
          <w:b/>
        </w:rPr>
      </w:pPr>
    </w:p>
    <w:p w14:paraId="61FB5C4E" w14:textId="77777777" w:rsidR="008A2E82" w:rsidRDefault="008A2E82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Diese Verordnung tritt am Tage nach ihrer Bekanntmachung im Amtsblatt für den Landkreis Altötting in Kraft.</w:t>
      </w:r>
    </w:p>
    <w:p w14:paraId="03111666" w14:textId="77777777" w:rsidR="008A2E82" w:rsidRDefault="008A2E82" w:rsidP="0003364B">
      <w:pPr>
        <w:spacing w:after="0"/>
        <w:jc w:val="both"/>
        <w:rPr>
          <w:rFonts w:ascii="Arial" w:hAnsi="Arial" w:cs="Arial"/>
        </w:rPr>
      </w:pPr>
    </w:p>
    <w:p w14:paraId="4194F669" w14:textId="77777777" w:rsidR="008A2E82" w:rsidRDefault="008A2E82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Landr</w:t>
      </w:r>
      <w:r w:rsidR="00A45C01">
        <w:rPr>
          <w:rFonts w:ascii="Arial" w:hAnsi="Arial" w:cs="Arial"/>
        </w:rPr>
        <w:t>atsamt Altötting, den XX.XX.2025</w:t>
      </w:r>
    </w:p>
    <w:p w14:paraId="0ABDEC32" w14:textId="77777777" w:rsidR="008A2E82" w:rsidRDefault="008A2E82" w:rsidP="0003364B">
      <w:pPr>
        <w:spacing w:after="0"/>
        <w:jc w:val="both"/>
        <w:rPr>
          <w:rFonts w:ascii="Arial" w:hAnsi="Arial" w:cs="Arial"/>
        </w:rPr>
      </w:pPr>
    </w:p>
    <w:p w14:paraId="331B00AC" w14:textId="77777777" w:rsidR="008A2E82" w:rsidRDefault="008A2E82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Schneider</w:t>
      </w:r>
    </w:p>
    <w:p w14:paraId="2DF59D67" w14:textId="77777777" w:rsidR="008A2E82" w:rsidRPr="008A2E82" w:rsidRDefault="008A2E82" w:rsidP="0003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Landrat</w:t>
      </w:r>
    </w:p>
    <w:sectPr w:rsidR="008A2E82" w:rsidRPr="008A2E8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DA66" w14:textId="77777777" w:rsidR="00BD56DC" w:rsidRDefault="00BD56DC" w:rsidP="00BD56DC">
      <w:pPr>
        <w:spacing w:after="0" w:line="240" w:lineRule="auto"/>
      </w:pPr>
      <w:r>
        <w:separator/>
      </w:r>
    </w:p>
  </w:endnote>
  <w:endnote w:type="continuationSeparator" w:id="0">
    <w:p w14:paraId="16C50867" w14:textId="77777777" w:rsidR="00BD56DC" w:rsidRDefault="00BD56DC" w:rsidP="00BD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645012"/>
      <w:docPartObj>
        <w:docPartGallery w:val="Page Numbers (Bottom of Page)"/>
        <w:docPartUnique/>
      </w:docPartObj>
    </w:sdtPr>
    <w:sdtEndPr/>
    <w:sdtContent>
      <w:p w14:paraId="71A9FDE0" w14:textId="77777777" w:rsidR="00BD56DC" w:rsidRDefault="00BD56D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D34">
          <w:rPr>
            <w:noProof/>
          </w:rPr>
          <w:t>2</w:t>
        </w:r>
        <w:r>
          <w:fldChar w:fldCharType="end"/>
        </w:r>
      </w:p>
    </w:sdtContent>
  </w:sdt>
  <w:p w14:paraId="217D81C6" w14:textId="77777777" w:rsidR="00BD56DC" w:rsidRDefault="00BD56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934F" w14:textId="77777777" w:rsidR="00BD56DC" w:rsidRDefault="00BD56DC" w:rsidP="00BD56DC">
      <w:pPr>
        <w:spacing w:after="0" w:line="240" w:lineRule="auto"/>
      </w:pPr>
      <w:r>
        <w:separator/>
      </w:r>
    </w:p>
  </w:footnote>
  <w:footnote w:type="continuationSeparator" w:id="0">
    <w:p w14:paraId="72BCC811" w14:textId="77777777" w:rsidR="00BD56DC" w:rsidRDefault="00BD56DC" w:rsidP="00BD56DC">
      <w:pPr>
        <w:spacing w:after="0" w:line="240" w:lineRule="auto"/>
      </w:pPr>
      <w:r>
        <w:continuationSeparator/>
      </w:r>
    </w:p>
  </w:footnote>
  <w:footnote w:id="1">
    <w:p w14:paraId="2844BDD9" w14:textId="77777777" w:rsidR="00372307" w:rsidRDefault="00372307">
      <w:pPr>
        <w:pStyle w:val="Funotentext"/>
      </w:pPr>
      <w:r>
        <w:rPr>
          <w:rStyle w:val="Funotenzeichen"/>
        </w:rPr>
        <w:footnoteRef/>
      </w:r>
      <w:r>
        <w:t xml:space="preserve"> Wird bei Bekanntmachung durch ein konkretes Datum ersetzt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13FE"/>
    <w:multiLevelType w:val="hybridMultilevel"/>
    <w:tmpl w:val="75AA90B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2740"/>
    <w:multiLevelType w:val="hybridMultilevel"/>
    <w:tmpl w:val="F358F8F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F46E9"/>
    <w:multiLevelType w:val="hybridMultilevel"/>
    <w:tmpl w:val="37FE9B6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E09A0"/>
    <w:multiLevelType w:val="hybridMultilevel"/>
    <w:tmpl w:val="0004F80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57ED6"/>
    <w:multiLevelType w:val="hybridMultilevel"/>
    <w:tmpl w:val="33DA78B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94FC7"/>
    <w:multiLevelType w:val="hybridMultilevel"/>
    <w:tmpl w:val="8220AED6"/>
    <w:lvl w:ilvl="0" w:tplc="04070015">
      <w:start w:val="1"/>
      <w:numFmt w:val="decimal"/>
      <w:lvlText w:val="(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06218">
    <w:abstractNumId w:val="1"/>
  </w:num>
  <w:num w:numId="2" w16cid:durableId="725614640">
    <w:abstractNumId w:val="0"/>
  </w:num>
  <w:num w:numId="3" w16cid:durableId="527106997">
    <w:abstractNumId w:val="5"/>
  </w:num>
  <w:num w:numId="4" w16cid:durableId="1090660828">
    <w:abstractNumId w:val="2"/>
  </w:num>
  <w:num w:numId="5" w16cid:durableId="1022320915">
    <w:abstractNumId w:val="3"/>
  </w:num>
  <w:num w:numId="6" w16cid:durableId="1748651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DA"/>
    <w:rsid w:val="0003364B"/>
    <w:rsid w:val="00056742"/>
    <w:rsid w:val="0009383B"/>
    <w:rsid w:val="000A2B19"/>
    <w:rsid w:val="00117CDA"/>
    <w:rsid w:val="00156ACA"/>
    <w:rsid w:val="001618F2"/>
    <w:rsid w:val="001951EA"/>
    <w:rsid w:val="001D4985"/>
    <w:rsid w:val="002313E8"/>
    <w:rsid w:val="00233C5E"/>
    <w:rsid w:val="00372307"/>
    <w:rsid w:val="00375088"/>
    <w:rsid w:val="00483207"/>
    <w:rsid w:val="004C750E"/>
    <w:rsid w:val="005E060D"/>
    <w:rsid w:val="006661F7"/>
    <w:rsid w:val="00752569"/>
    <w:rsid w:val="007C3D34"/>
    <w:rsid w:val="00801C87"/>
    <w:rsid w:val="008553A0"/>
    <w:rsid w:val="008A2E82"/>
    <w:rsid w:val="00903385"/>
    <w:rsid w:val="009A78EF"/>
    <w:rsid w:val="00A45C01"/>
    <w:rsid w:val="00A47FA9"/>
    <w:rsid w:val="00AB6B66"/>
    <w:rsid w:val="00AD7C1B"/>
    <w:rsid w:val="00B05F21"/>
    <w:rsid w:val="00B61986"/>
    <w:rsid w:val="00B75351"/>
    <w:rsid w:val="00BB27CC"/>
    <w:rsid w:val="00BD56DC"/>
    <w:rsid w:val="00C4121F"/>
    <w:rsid w:val="00CB7F0E"/>
    <w:rsid w:val="00CD5A79"/>
    <w:rsid w:val="00D66B35"/>
    <w:rsid w:val="00DD34F6"/>
    <w:rsid w:val="00E21AA6"/>
    <w:rsid w:val="00F23B74"/>
    <w:rsid w:val="00FD187B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FC52"/>
  <w15:chartTrackingRefBased/>
  <w15:docId w15:val="{264667E8-0D8E-4BC4-B1D2-41729189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56DC"/>
  </w:style>
  <w:style w:type="paragraph" w:styleId="Fuzeile">
    <w:name w:val="footer"/>
    <w:basedOn w:val="Standard"/>
    <w:link w:val="FuzeileZchn"/>
    <w:uiPriority w:val="99"/>
    <w:unhideWhenUsed/>
    <w:rsid w:val="00BD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56DC"/>
  </w:style>
  <w:style w:type="paragraph" w:styleId="Listenabsatz">
    <w:name w:val="List Paragraph"/>
    <w:basedOn w:val="Standard"/>
    <w:uiPriority w:val="34"/>
    <w:qFormat/>
    <w:rsid w:val="001951E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83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230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23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2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Altoetting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Henrike, Landratsamt-Altötting</dc:creator>
  <cp:keywords/>
  <dc:description/>
  <cp:lastModifiedBy>Maier, Henrike, Landratsamt-Altötting</cp:lastModifiedBy>
  <cp:revision>26</cp:revision>
  <cp:lastPrinted>2024-03-12T09:18:00Z</cp:lastPrinted>
  <dcterms:created xsi:type="dcterms:W3CDTF">2021-01-20T09:53:00Z</dcterms:created>
  <dcterms:modified xsi:type="dcterms:W3CDTF">2025-06-25T08:44:00Z</dcterms:modified>
</cp:coreProperties>
</file>